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7698E532" w:rsidR="00DA47F2" w:rsidRDefault="00B17B76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 w:rsidRPr="00B17B76">
        <w:rPr>
          <w:rFonts w:asciiTheme="majorHAnsi" w:hAnsiTheme="majorHAnsi" w:cstheme="majorHAnsi"/>
          <w:b/>
          <w:color w:val="FFFFFF" w:themeColor="background1"/>
          <w:sz w:val="32"/>
        </w:rPr>
        <w:t>La matière, les mouvements et les signaux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110"/>
        <w:gridCol w:w="5325"/>
      </w:tblGrid>
      <w:tr w:rsidR="00B17B76" w14:paraId="59B8FCAC" w14:textId="77777777" w:rsidTr="00D7583F">
        <w:trPr>
          <w:trHeight w:val="70"/>
          <w:jc w:val="center"/>
        </w:trPr>
        <w:tc>
          <w:tcPr>
            <w:tcW w:w="988" w:type="dxa"/>
          </w:tcPr>
          <w:p w14:paraId="5F9763D2" w14:textId="77777777" w:rsidR="00B17B76" w:rsidRPr="008123C1" w:rsidRDefault="00B17B76" w:rsidP="00203B1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14:paraId="4DDD6500" w14:textId="5CB475D4" w:rsidR="00B17B76" w:rsidRPr="008123C1" w:rsidRDefault="00B17B76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M1</w:t>
            </w:r>
          </w:p>
        </w:tc>
        <w:tc>
          <w:tcPr>
            <w:tcW w:w="5325" w:type="dxa"/>
            <w:shd w:val="clear" w:color="auto" w:fill="FBE4D5" w:themeFill="accent2" w:themeFillTint="33"/>
            <w:vAlign w:val="center"/>
          </w:tcPr>
          <w:p w14:paraId="4178988D" w14:textId="66C11351" w:rsidR="00B17B76" w:rsidRPr="008123C1" w:rsidRDefault="00B17B76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M2</w:t>
            </w:r>
          </w:p>
        </w:tc>
      </w:tr>
      <w:tr w:rsidR="00B17B76" w14:paraId="55B97D27" w14:textId="77777777" w:rsidTr="00D7583F">
        <w:trPr>
          <w:cantSplit/>
          <w:trHeight w:val="1134"/>
          <w:jc w:val="center"/>
        </w:trPr>
        <w:tc>
          <w:tcPr>
            <w:tcW w:w="988" w:type="dxa"/>
            <w:shd w:val="clear" w:color="auto" w:fill="D9E2F3" w:themeFill="accent5" w:themeFillTint="33"/>
            <w:textDirection w:val="btLr"/>
          </w:tcPr>
          <w:p w14:paraId="28C23EE8" w14:textId="735B401B" w:rsidR="00B17B76" w:rsidRPr="008123C1" w:rsidRDefault="001227B6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1227B6">
              <w:rPr>
                <w:rFonts w:asciiTheme="majorHAnsi" w:hAnsiTheme="majorHAnsi" w:cstheme="majorHAnsi"/>
                <w:b/>
                <w:sz w:val="24"/>
              </w:rPr>
              <w:t>États et constitution de la matière à l’échelle macroscopique</w:t>
            </w:r>
          </w:p>
        </w:tc>
        <w:tc>
          <w:tcPr>
            <w:tcW w:w="4110" w:type="dxa"/>
          </w:tcPr>
          <w:p w14:paraId="5840CFC8" w14:textId="1C19483A" w:rsidR="00CF7672" w:rsidRPr="000410ED" w:rsidRDefault="00CF7672" w:rsidP="00CF7672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>Masse et volume :</w:t>
            </w:r>
          </w:p>
          <w:p w14:paraId="49700C17" w14:textId="77777777" w:rsidR="00CF7672" w:rsidRPr="000410ED" w:rsidRDefault="00CF7672" w:rsidP="00D80323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Comparer les masses de différents objets à l’aide d’un dispositif simple qui peut être conçu par les élèves (poulie et cordelette, balance romaine, à fléau, à plateaux). </w:t>
            </w:r>
          </w:p>
          <w:p w14:paraId="6A8C9F6D" w14:textId="77777777" w:rsidR="00CF7672" w:rsidRPr="000410ED" w:rsidRDefault="00CF7672" w:rsidP="00D80323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Mesurer la masse d’un solide ou d’un liquide à l’aide d’une balance (balance romaine, balance à plateaux, balance électronique) en tarant la balance le cas échéant. </w:t>
            </w:r>
          </w:p>
          <w:p w14:paraId="2FCD06F8" w14:textId="0C36D627" w:rsidR="00CF7672" w:rsidRPr="000410ED" w:rsidRDefault="00CF7672" w:rsidP="00CF7672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Mélanges : </w:t>
            </w:r>
          </w:p>
          <w:p w14:paraId="679120EC" w14:textId="77777777" w:rsidR="00CF7672" w:rsidRPr="000410ED" w:rsidRDefault="00CF7672" w:rsidP="00D80323">
            <w:pPr>
              <w:numPr>
                <w:ilvl w:val="0"/>
                <w:numId w:val="8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Distinguer des mélanges homogènes et des mélanges hétérogènes. </w:t>
            </w:r>
          </w:p>
          <w:p w14:paraId="45A8ECDA" w14:textId="77777777" w:rsidR="00CF7672" w:rsidRPr="000410ED" w:rsidRDefault="00CF7672" w:rsidP="00D80323">
            <w:pPr>
              <w:numPr>
                <w:ilvl w:val="0"/>
                <w:numId w:val="8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Séparer les constituants d’un mélange de solides ou d’un mélange solide-liquide par tamisage, décantation, filtration. </w:t>
            </w:r>
          </w:p>
          <w:p w14:paraId="7C934F58" w14:textId="77777777" w:rsidR="00CF7672" w:rsidRPr="000410ED" w:rsidRDefault="00CF7672" w:rsidP="00D80323">
            <w:pPr>
              <w:numPr>
                <w:ilvl w:val="0"/>
                <w:numId w:val="8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 xml:space="preserve">Constater que certains solides peuvent se dissoudre dans l’eau. </w:t>
            </w:r>
          </w:p>
          <w:p w14:paraId="5208D29A" w14:textId="7B8872CC" w:rsidR="00B17B76" w:rsidRPr="000410ED" w:rsidRDefault="00CF7672" w:rsidP="00D80323">
            <w:pPr>
              <w:numPr>
                <w:ilvl w:val="0"/>
                <w:numId w:val="8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>Observer le phénomène de saturation lors du mélange d’un solide dans l’eau et en rendre compte quantitativement.</w:t>
            </w:r>
          </w:p>
        </w:tc>
        <w:tc>
          <w:tcPr>
            <w:tcW w:w="5325" w:type="dxa"/>
          </w:tcPr>
          <w:p w14:paraId="6433FD07" w14:textId="0FE2B79B" w:rsidR="00D7583F" w:rsidRPr="00D7583F" w:rsidRDefault="00D7583F" w:rsidP="00D7583F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Masse et volume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397ED514" w14:textId="77777777" w:rsidR="00D7583F" w:rsidRPr="00D7583F" w:rsidRDefault="00D7583F" w:rsidP="00D80323">
            <w:pPr>
              <w:numPr>
                <w:ilvl w:val="0"/>
                <w:numId w:val="1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Effectuer des conversions d’unités de masse (en se limitant à des unités usuelles : tonne, kilogramme, gramme et milligramme). </w:t>
            </w:r>
          </w:p>
          <w:p w14:paraId="51C12A72" w14:textId="77777777" w:rsidR="00D7583F" w:rsidRPr="00D7583F" w:rsidRDefault="00D7583F" w:rsidP="00D80323">
            <w:pPr>
              <w:numPr>
                <w:ilvl w:val="0"/>
                <w:numId w:val="1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Mesurer le volume d’un liquide et mesurer celui d’un solide (plein non soluble) par déplacement de liquide. </w:t>
            </w:r>
          </w:p>
          <w:p w14:paraId="7A862A82" w14:textId="77777777" w:rsidR="00D7583F" w:rsidRPr="00D7583F" w:rsidRDefault="00D7583F" w:rsidP="00D80323">
            <w:pPr>
              <w:numPr>
                <w:ilvl w:val="0"/>
                <w:numId w:val="1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Mettre en évidence expérimentalement que la masse totale se conserve lors du mélange d’un solide dans un liquide. </w:t>
            </w:r>
          </w:p>
          <w:p w14:paraId="0819A7EE" w14:textId="77777777" w:rsidR="00D7583F" w:rsidRPr="00D7583F" w:rsidRDefault="00D7583F" w:rsidP="00D80323">
            <w:pPr>
              <w:numPr>
                <w:ilvl w:val="0"/>
                <w:numId w:val="1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Mettre en évidence expérimentalement que, lorsqu’un solide est dissous dans un liquide, le volume total n’est pas nécessairement la somme du volume du solide et du liquide. </w:t>
            </w:r>
          </w:p>
          <w:p w14:paraId="5B4BFBBF" w14:textId="65886FE4" w:rsidR="00D7583F" w:rsidRPr="00D7583F" w:rsidRDefault="00D7583F" w:rsidP="00D7583F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Mélanges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0D05C7A0" w14:textId="7F36F069" w:rsidR="00D7583F" w:rsidRPr="00D7583F" w:rsidRDefault="00D7583F" w:rsidP="00D80323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Récupérer un solide dissou</w:t>
            </w:r>
            <w:r w:rsidR="00136C3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s </w:t>
            </w: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dans l’eau par évaporation. </w:t>
            </w:r>
          </w:p>
          <w:p w14:paraId="31C7F48E" w14:textId="69336CE3" w:rsidR="00D7583F" w:rsidRPr="00D7583F" w:rsidRDefault="00D7583F" w:rsidP="00D7583F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Propriétés de la matière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5EFDC499" w14:textId="77777777" w:rsidR="00D7583F" w:rsidRPr="00D7583F" w:rsidRDefault="00D7583F" w:rsidP="00D80323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Différencier les états physiques solide (forme et volume propres), liquide (volume propre, absence de forme propre et surface horizontale) et gazeux (ni forme propre ni volume propre). </w:t>
            </w:r>
          </w:p>
          <w:p w14:paraId="486C19B1" w14:textId="77777777" w:rsidR="00D7583F" w:rsidRPr="00D7583F" w:rsidRDefault="00D7583F" w:rsidP="00D80323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Observer des changements d’état physique et leur réversibilité. Nommer les changements d’état. </w:t>
            </w:r>
          </w:p>
          <w:p w14:paraId="1DF2135F" w14:textId="4067D4F2" w:rsidR="00B17B76" w:rsidRPr="00D7583F" w:rsidRDefault="00D7583F" w:rsidP="00D80323">
            <w:pPr>
              <w:numPr>
                <w:ilvl w:val="0"/>
                <w:numId w:val="12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758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les différents états physiques de la matière dans la nature, en particulier ceux de l’eau.</w:t>
            </w:r>
          </w:p>
        </w:tc>
      </w:tr>
      <w:tr w:rsidR="00B17B76" w14:paraId="3E095731" w14:textId="77777777" w:rsidTr="00D7583F">
        <w:trPr>
          <w:cantSplit/>
          <w:trHeight w:val="1848"/>
          <w:jc w:val="center"/>
        </w:trPr>
        <w:tc>
          <w:tcPr>
            <w:tcW w:w="988" w:type="dxa"/>
            <w:shd w:val="clear" w:color="auto" w:fill="B4C6E7" w:themeFill="accent5" w:themeFillTint="66"/>
            <w:textDirection w:val="btLr"/>
          </w:tcPr>
          <w:p w14:paraId="480328A5" w14:textId="134DA017" w:rsidR="00B17B76" w:rsidRPr="008123C1" w:rsidRDefault="001227B6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1227B6">
              <w:rPr>
                <w:rFonts w:asciiTheme="majorHAnsi" w:hAnsiTheme="majorHAnsi" w:cstheme="majorHAnsi"/>
                <w:b/>
                <w:sz w:val="24"/>
              </w:rPr>
              <w:t>Différents types de mouvement</w:t>
            </w:r>
          </w:p>
        </w:tc>
        <w:tc>
          <w:tcPr>
            <w:tcW w:w="4110" w:type="dxa"/>
          </w:tcPr>
          <w:p w14:paraId="0E3B8997" w14:textId="77777777" w:rsidR="000410ED" w:rsidRPr="000410ED" w:rsidRDefault="000410ED" w:rsidP="00D80323">
            <w:pPr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>Mesurer une distance lors du déplacement d’un objet.</w:t>
            </w:r>
          </w:p>
          <w:p w14:paraId="5E3D578B" w14:textId="1D1A1D61" w:rsidR="00B17B76" w:rsidRPr="000410ED" w:rsidRDefault="000410ED" w:rsidP="00D80323">
            <w:pPr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lang w:eastAsia="fr-FR"/>
              </w:rPr>
              <w:t>Mesurer une durée, comme intervalle entre deux instants, lors du déplacement d’un objet.</w:t>
            </w:r>
          </w:p>
        </w:tc>
        <w:tc>
          <w:tcPr>
            <w:tcW w:w="5325" w:type="dxa"/>
          </w:tcPr>
          <w:p w14:paraId="0886B005" w14:textId="77777777" w:rsidR="00180A98" w:rsidRPr="00180A98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 et identifier le mouvement rectiligne ou circulaire d’un objet, en fonction de l’observateur.</w:t>
            </w:r>
          </w:p>
          <w:p w14:paraId="321B732E" w14:textId="77777777" w:rsidR="00180A98" w:rsidRPr="00180A98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Décrire le mouvement de la Terre par rapport au Soleil et la situer dans le système solaire.</w:t>
            </w:r>
          </w:p>
          <w:p w14:paraId="67ABF293" w14:textId="621E6A80" w:rsidR="00B17B76" w:rsidRPr="00F910B2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Effectuer des conversions d’unités de distance et de temps.</w:t>
            </w:r>
          </w:p>
        </w:tc>
      </w:tr>
      <w:tr w:rsidR="00B17B76" w14:paraId="37029237" w14:textId="77777777" w:rsidTr="00D7583F">
        <w:trPr>
          <w:cantSplit/>
          <w:trHeight w:val="1392"/>
          <w:jc w:val="center"/>
        </w:trPr>
        <w:tc>
          <w:tcPr>
            <w:tcW w:w="988" w:type="dxa"/>
            <w:shd w:val="clear" w:color="auto" w:fill="8EAADB" w:themeFill="accent5" w:themeFillTint="99"/>
            <w:textDirection w:val="btLr"/>
          </w:tcPr>
          <w:p w14:paraId="0762D99B" w14:textId="5FBC5F43" w:rsidR="00B17B76" w:rsidRPr="007418DE" w:rsidRDefault="001227B6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1227B6">
              <w:rPr>
                <w:rFonts w:asciiTheme="majorHAnsi" w:hAnsiTheme="majorHAnsi" w:cstheme="majorHAnsi"/>
                <w:b/>
                <w:sz w:val="24"/>
              </w:rPr>
              <w:t>Signaux</w:t>
            </w:r>
          </w:p>
        </w:tc>
        <w:tc>
          <w:tcPr>
            <w:tcW w:w="4110" w:type="dxa"/>
          </w:tcPr>
          <w:p w14:paraId="1753D204" w14:textId="20E06C5D" w:rsidR="000410ED" w:rsidRPr="000410ED" w:rsidRDefault="000410ED" w:rsidP="000410ED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Lumière :</w:t>
            </w:r>
          </w:p>
          <w:p w14:paraId="05ACA339" w14:textId="77777777" w:rsidR="000410ED" w:rsidRPr="000410ED" w:rsidRDefault="000410ED" w:rsidP="00D80323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Observer et classer des matériaux selon qu’ils sont transparents, opaques à la lumière ou translucides. </w:t>
            </w:r>
          </w:p>
          <w:p w14:paraId="4AFE64EC" w14:textId="77777777" w:rsidR="000410ED" w:rsidRPr="000410ED" w:rsidRDefault="000410ED" w:rsidP="00D80323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Produire expérimentalement une ombre (déficit de lumière associé à une source) à l’aide d’un objet opaque et distinguer ombre propre et ombre portée (sur le sol ou sur un écran). </w:t>
            </w:r>
          </w:p>
          <w:p w14:paraId="1C7299D0" w14:textId="77777777" w:rsidR="000410ED" w:rsidRPr="000410ED" w:rsidRDefault="000410ED" w:rsidP="00D80323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Produire des ombres et associer leurs positions et leurs tailles à celles de la source lumineuse et de l’objet opaque. </w:t>
            </w:r>
          </w:p>
          <w:p w14:paraId="73837F80" w14:textId="77777777" w:rsidR="000410ED" w:rsidRPr="000410ED" w:rsidRDefault="000410ED" w:rsidP="00D80323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410E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Observer, schématiser et nommer les phases de la Lune.</w:t>
            </w:r>
          </w:p>
          <w:p w14:paraId="7B6DDCB9" w14:textId="4FCBBBE9" w:rsidR="00B17B76" w:rsidRPr="007418DE" w:rsidRDefault="00B17B76" w:rsidP="000410ED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5325" w:type="dxa"/>
          </w:tcPr>
          <w:p w14:paraId="114CBA84" w14:textId="536A5A07" w:rsidR="00180A98" w:rsidRPr="00180A98" w:rsidRDefault="00180A98" w:rsidP="00180A98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Électricité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479C24A8" w14:textId="77777777" w:rsidR="00180A98" w:rsidRPr="00180A98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Réaliser un circuit électrique à une boucle associant un générateur (pile), un interrupteur, un ou deux récepteurs (ampoule) pour mettre en évidence la circulation du courant électrique. </w:t>
            </w:r>
          </w:p>
          <w:p w14:paraId="4C371E8B" w14:textId="77777777" w:rsidR="00180A98" w:rsidRPr="00180A98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Rechercher des informations sur les règles de sécurité électrique et les prendre en compte dans son activité. </w:t>
            </w:r>
          </w:p>
          <w:p w14:paraId="799B8858" w14:textId="77777777" w:rsidR="00180A98" w:rsidRPr="00180A98" w:rsidRDefault="00180A98" w:rsidP="00D80323">
            <w:pPr>
              <w:pStyle w:val="Paragraphedeliste"/>
              <w:numPr>
                <w:ilvl w:val="0"/>
                <w:numId w:val="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80A9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des matériaux conducteurs et isolants électriques.</w:t>
            </w:r>
          </w:p>
          <w:p w14:paraId="473EC34D" w14:textId="47DCF7CC" w:rsidR="00B17B76" w:rsidRPr="00180A98" w:rsidRDefault="00B17B76" w:rsidP="00180A98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</w:tr>
    </w:tbl>
    <w:p w14:paraId="2747FD4D" w14:textId="77777777" w:rsidR="00EE192F" w:rsidRDefault="00EE192F" w:rsidP="00263639">
      <w:pPr>
        <w:rPr>
          <w:rFonts w:asciiTheme="majorHAnsi" w:hAnsiTheme="majorHAnsi" w:cstheme="majorHAnsi"/>
        </w:rPr>
      </w:pPr>
    </w:p>
    <w:p w14:paraId="09AE2BF8" w14:textId="40BF16C0" w:rsidR="00DA47F2" w:rsidRPr="00F43D75" w:rsidRDefault="00FA54D3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FA54D3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Les êtres vivants dans leur environnement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4820"/>
        <w:gridCol w:w="4410"/>
      </w:tblGrid>
      <w:tr w:rsidR="001227B6" w:rsidRPr="00D201EB" w14:paraId="7F558065" w14:textId="77777777" w:rsidTr="00CC307B">
        <w:trPr>
          <w:trHeight w:val="70"/>
          <w:jc w:val="center"/>
        </w:trPr>
        <w:tc>
          <w:tcPr>
            <w:tcW w:w="1129" w:type="dxa"/>
          </w:tcPr>
          <w:p w14:paraId="61C83287" w14:textId="77777777" w:rsidR="001227B6" w:rsidRPr="00D201EB" w:rsidRDefault="001227B6" w:rsidP="00203B1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58475E5A" w14:textId="77777777" w:rsidR="001227B6" w:rsidRPr="00D201EB" w:rsidRDefault="001227B6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D201EB">
              <w:rPr>
                <w:rFonts w:asciiTheme="majorHAnsi" w:hAnsiTheme="majorHAnsi" w:cstheme="majorHAnsi"/>
                <w:b/>
                <w:sz w:val="28"/>
              </w:rPr>
              <w:t>CM1</w:t>
            </w:r>
          </w:p>
        </w:tc>
        <w:tc>
          <w:tcPr>
            <w:tcW w:w="4410" w:type="dxa"/>
            <w:shd w:val="clear" w:color="auto" w:fill="FBE4D5" w:themeFill="accent2" w:themeFillTint="33"/>
            <w:vAlign w:val="center"/>
          </w:tcPr>
          <w:p w14:paraId="44FB7F75" w14:textId="77777777" w:rsidR="001227B6" w:rsidRPr="00D201EB" w:rsidRDefault="001227B6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D201EB">
              <w:rPr>
                <w:rFonts w:asciiTheme="majorHAnsi" w:hAnsiTheme="majorHAnsi" w:cstheme="majorHAnsi"/>
                <w:b/>
                <w:sz w:val="28"/>
              </w:rPr>
              <w:t>CM2</w:t>
            </w:r>
          </w:p>
        </w:tc>
      </w:tr>
      <w:tr w:rsidR="001227B6" w:rsidRPr="00D201EB" w14:paraId="3829F945" w14:textId="77777777" w:rsidTr="00CC307B">
        <w:trPr>
          <w:cantSplit/>
          <w:trHeight w:val="1134"/>
          <w:jc w:val="center"/>
        </w:trPr>
        <w:tc>
          <w:tcPr>
            <w:tcW w:w="1129" w:type="dxa"/>
            <w:shd w:val="clear" w:color="auto" w:fill="FFF2CC" w:themeFill="accent4" w:themeFillTint="33"/>
            <w:textDirection w:val="btLr"/>
          </w:tcPr>
          <w:p w14:paraId="0E2B9B2E" w14:textId="3F6D9308" w:rsidR="001227B6" w:rsidRPr="00D201EB" w:rsidRDefault="00531A0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31A02">
              <w:rPr>
                <w:rFonts w:asciiTheme="majorHAnsi" w:hAnsiTheme="majorHAnsi" w:cstheme="majorHAnsi"/>
                <w:b/>
                <w:sz w:val="24"/>
              </w:rPr>
              <w:t>Unité et diversité du vivant</w:t>
            </w:r>
          </w:p>
        </w:tc>
        <w:tc>
          <w:tcPr>
            <w:tcW w:w="4820" w:type="dxa"/>
          </w:tcPr>
          <w:p w14:paraId="528E2488" w14:textId="1D26208D" w:rsidR="001B541D" w:rsidRPr="001B541D" w:rsidRDefault="001B541D" w:rsidP="001B541D">
            <w:pPr>
              <w:pStyle w:val="Default"/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1B541D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Classification du vivant :</w:t>
            </w:r>
          </w:p>
          <w:p w14:paraId="321C6726" w14:textId="77777777" w:rsidR="001B541D" w:rsidRPr="001B541D" w:rsidRDefault="001B541D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1B541D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 xml:space="preserve">Définir une espèce comme un ensemble d’individus interféconds. </w:t>
            </w:r>
          </w:p>
          <w:p w14:paraId="06ADEC4F" w14:textId="77777777" w:rsidR="001B541D" w:rsidRPr="001B541D" w:rsidRDefault="001B541D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1B541D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 xml:space="preserve">Réaliser une classification en groupes emboîtés à partir d’un petit nombre d’espèces possédant des attributs identifiés, puis en déduire les liens de parenté. </w:t>
            </w:r>
          </w:p>
          <w:p w14:paraId="594F3B76" w14:textId="43E4D426" w:rsidR="001B541D" w:rsidRPr="001B541D" w:rsidRDefault="001B541D" w:rsidP="001B541D">
            <w:pPr>
              <w:pStyle w:val="Default"/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1B541D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 xml:space="preserve">Biodiversité actuelle et passée : </w:t>
            </w:r>
          </w:p>
          <w:p w14:paraId="5F550D30" w14:textId="4C6FEA66" w:rsidR="001227B6" w:rsidRPr="001B541D" w:rsidRDefault="001B541D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1B541D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Identifier des espèces en utilisant une clé de détermination.</w:t>
            </w:r>
          </w:p>
        </w:tc>
        <w:tc>
          <w:tcPr>
            <w:tcW w:w="4410" w:type="dxa"/>
          </w:tcPr>
          <w:p w14:paraId="758E0196" w14:textId="7F140493" w:rsidR="005603E9" w:rsidRPr="005603E9" w:rsidRDefault="005603E9" w:rsidP="005603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>Biodiversité actuelle et passée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63DFCDA7" w14:textId="77777777" w:rsidR="005603E9" w:rsidRPr="005603E9" w:rsidRDefault="005603E9" w:rsidP="00D80323">
            <w:pPr>
              <w:pStyle w:val="Default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 xml:space="preserve">Distinguer différentes échelles de temps : l’échelle des temps géologiques (notion de temps long) et celle de l’histoire de l’être humain. </w:t>
            </w:r>
          </w:p>
          <w:p w14:paraId="66FAA21C" w14:textId="5D0941EC" w:rsidR="001227B6" w:rsidRPr="005603E9" w:rsidRDefault="005603E9" w:rsidP="00D80323">
            <w:pPr>
              <w:pStyle w:val="Default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>Caractériser des changements de la biodiversité au cours de l’histoire de la Terre par l’exploitation de fossiles.</w:t>
            </w:r>
          </w:p>
        </w:tc>
      </w:tr>
      <w:tr w:rsidR="001227B6" w:rsidRPr="00D201EB" w14:paraId="1833FB0C" w14:textId="77777777" w:rsidTr="00CC307B">
        <w:trPr>
          <w:cantSplit/>
          <w:trHeight w:val="1816"/>
          <w:jc w:val="center"/>
        </w:trPr>
        <w:tc>
          <w:tcPr>
            <w:tcW w:w="1129" w:type="dxa"/>
            <w:shd w:val="clear" w:color="auto" w:fill="FFE599" w:themeFill="accent4" w:themeFillTint="66"/>
            <w:textDirection w:val="btLr"/>
          </w:tcPr>
          <w:p w14:paraId="3D4C9187" w14:textId="4FB2E3FC" w:rsidR="001227B6" w:rsidRPr="00D201EB" w:rsidRDefault="00531A0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31A02">
              <w:rPr>
                <w:rFonts w:asciiTheme="majorHAnsi" w:hAnsiTheme="majorHAnsi" w:cstheme="majorHAnsi"/>
                <w:b/>
                <w:sz w:val="24"/>
              </w:rPr>
              <w:t>Reproduction, croissance et développement</w:t>
            </w:r>
          </w:p>
        </w:tc>
        <w:tc>
          <w:tcPr>
            <w:tcW w:w="4820" w:type="dxa"/>
          </w:tcPr>
          <w:p w14:paraId="65E67F2B" w14:textId="379F3E64" w:rsidR="00EF620C" w:rsidRPr="00EF620C" w:rsidRDefault="00EF620C" w:rsidP="00EF620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F620C">
              <w:rPr>
                <w:rFonts w:asciiTheme="majorHAnsi" w:hAnsiTheme="majorHAnsi" w:cstheme="majorHAnsi"/>
                <w:sz w:val="22"/>
                <w:szCs w:val="22"/>
              </w:rPr>
              <w:t>Cycle de vie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56A989A8" w14:textId="77777777" w:rsidR="00EF620C" w:rsidRPr="00EF620C" w:rsidRDefault="00EF620C" w:rsidP="00D80323">
            <w:pPr>
              <w:pStyle w:val="Default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F620C">
              <w:rPr>
                <w:rFonts w:asciiTheme="majorHAnsi" w:hAnsiTheme="majorHAnsi" w:cstheme="majorHAnsi"/>
                <w:sz w:val="22"/>
                <w:szCs w:val="22"/>
              </w:rPr>
              <w:t xml:space="preserve">Décrire les étapes du développement des animaux de la fécondation à la naissance. </w:t>
            </w:r>
          </w:p>
          <w:p w14:paraId="3A9791E4" w14:textId="45358C88" w:rsidR="001227B6" w:rsidRPr="00E708FA" w:rsidRDefault="00EF620C" w:rsidP="00D80323">
            <w:pPr>
              <w:pStyle w:val="Default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F620C">
              <w:rPr>
                <w:rFonts w:asciiTheme="majorHAnsi" w:hAnsiTheme="majorHAnsi" w:cstheme="majorHAnsi"/>
                <w:sz w:val="22"/>
                <w:szCs w:val="22"/>
              </w:rPr>
              <w:t>Mettre en relation le type de fécondation (interne ou externe) avec le mode de reproduction ovipare et vivipare des animaux.</w:t>
            </w:r>
          </w:p>
        </w:tc>
        <w:tc>
          <w:tcPr>
            <w:tcW w:w="4410" w:type="dxa"/>
          </w:tcPr>
          <w:p w14:paraId="7D9A0162" w14:textId="022839E8" w:rsidR="001227B6" w:rsidRPr="00D201EB" w:rsidRDefault="001227B6" w:rsidP="005603E9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227B6" w:rsidRPr="00D201EB" w14:paraId="39A49D25" w14:textId="77777777" w:rsidTr="00CC307B">
        <w:trPr>
          <w:cantSplit/>
          <w:trHeight w:val="2678"/>
          <w:jc w:val="center"/>
        </w:trPr>
        <w:tc>
          <w:tcPr>
            <w:tcW w:w="1129" w:type="dxa"/>
            <w:shd w:val="clear" w:color="auto" w:fill="FFD966" w:themeFill="accent4" w:themeFillTint="99"/>
            <w:textDirection w:val="btLr"/>
          </w:tcPr>
          <w:p w14:paraId="1D32CB4F" w14:textId="5EA0EA79" w:rsidR="001227B6" w:rsidRPr="00D201EB" w:rsidRDefault="00531A0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31A02">
              <w:rPr>
                <w:rFonts w:asciiTheme="majorHAnsi" w:hAnsiTheme="majorHAnsi" w:cstheme="majorHAnsi"/>
                <w:b/>
                <w:sz w:val="24"/>
              </w:rPr>
              <w:t>Les écosystèmes</w:t>
            </w:r>
          </w:p>
        </w:tc>
        <w:tc>
          <w:tcPr>
            <w:tcW w:w="4820" w:type="dxa"/>
          </w:tcPr>
          <w:p w14:paraId="7E8DB056" w14:textId="1262CC28" w:rsidR="00AA6901" w:rsidRPr="00AA6901" w:rsidRDefault="00AA6901" w:rsidP="00AA690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>Écosystème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1CB2C6DC" w14:textId="77777777" w:rsidR="00AA6901" w:rsidRPr="00AA6901" w:rsidRDefault="00AA6901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 xml:space="preserve">Définir un écosystème comme un ensemble d’êtres vivants, leur milieu de vie et leurs relations. </w:t>
            </w:r>
          </w:p>
          <w:p w14:paraId="1183A3E4" w14:textId="19E86162" w:rsidR="00AA6901" w:rsidRPr="00AA6901" w:rsidRDefault="00AA6901" w:rsidP="00AA690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>Place des êtres vivants dans les réseaux alimentaires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02331DA0" w14:textId="77777777" w:rsidR="00AA6901" w:rsidRPr="00AA6901" w:rsidRDefault="00AA6901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 xml:space="preserve">Relier la production de matière par les animaux à leur consommation de nourriture provenant d’autres êtres vivants. </w:t>
            </w:r>
          </w:p>
          <w:p w14:paraId="7E0434A6" w14:textId="77777777" w:rsidR="00AA6901" w:rsidRPr="00AA6901" w:rsidRDefault="00AA6901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 xml:space="preserve">Expérimenter pour identifier les besoins des végétaux et les relier à leur capacité à produire de la matière organique. </w:t>
            </w:r>
          </w:p>
          <w:p w14:paraId="0264C6FC" w14:textId="77777777" w:rsidR="00AA6901" w:rsidRPr="00AA6901" w:rsidRDefault="00AA6901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 xml:space="preserve">Représenter par un réseau les liens alimentaires entre les êtres vivants. </w:t>
            </w:r>
          </w:p>
          <w:p w14:paraId="0BA247E7" w14:textId="48F362BC" w:rsidR="001227B6" w:rsidRPr="00AA6901" w:rsidRDefault="00AA6901" w:rsidP="00D80323">
            <w:pPr>
              <w:pStyle w:val="Defaul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A6901">
              <w:rPr>
                <w:rFonts w:asciiTheme="majorHAnsi" w:hAnsiTheme="majorHAnsi" w:cstheme="majorHAnsi"/>
                <w:sz w:val="22"/>
                <w:szCs w:val="22"/>
              </w:rPr>
              <w:t>Envisager les conséquences d’une action humaine sur un réseau alimentaire.</w:t>
            </w:r>
          </w:p>
        </w:tc>
        <w:tc>
          <w:tcPr>
            <w:tcW w:w="4410" w:type="dxa"/>
          </w:tcPr>
          <w:p w14:paraId="3551B662" w14:textId="77777777" w:rsidR="005603E9" w:rsidRPr="005603E9" w:rsidRDefault="005603E9" w:rsidP="005603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>Conséquences des actions humaines sur l’environnement</w:t>
            </w:r>
          </w:p>
          <w:p w14:paraId="1ACEAFFC" w14:textId="77777777" w:rsidR="005603E9" w:rsidRPr="005603E9" w:rsidRDefault="005603E9" w:rsidP="00D80323">
            <w:pPr>
              <w:pStyle w:val="Default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 xml:space="preserve">S’impliquer dans des actions et des projets relatifs à l’éducation au développement durable (EDD) et à la transition écologique sur un thème au choix : changement climatique, biodiversité, gestion des ressources et des déchets, etc., afin de développer la capacité à agir individuellement et collectivement. </w:t>
            </w:r>
          </w:p>
          <w:p w14:paraId="42184F3D" w14:textId="438BB820" w:rsidR="001227B6" w:rsidRPr="005603E9" w:rsidRDefault="005603E9" w:rsidP="00D80323">
            <w:pPr>
              <w:pStyle w:val="Default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5603E9">
              <w:rPr>
                <w:rFonts w:asciiTheme="majorHAnsi" w:hAnsiTheme="majorHAnsi" w:cstheme="majorHAnsi"/>
                <w:sz w:val="22"/>
                <w:szCs w:val="22"/>
              </w:rPr>
              <w:t>Développer un rapport sensible à la nature et prendre conscience de la nécessité et des possibilités d’agir, individuellement et collectivement, pour protéger l’environnement, dans le cadre d’un projet EDD.</w:t>
            </w:r>
          </w:p>
        </w:tc>
      </w:tr>
      <w:tr w:rsidR="001227B6" w:rsidRPr="00D201EB" w14:paraId="376E913E" w14:textId="77777777" w:rsidTr="00CC307B">
        <w:trPr>
          <w:cantSplit/>
          <w:trHeight w:val="2131"/>
          <w:jc w:val="center"/>
        </w:trPr>
        <w:tc>
          <w:tcPr>
            <w:tcW w:w="1129" w:type="dxa"/>
            <w:shd w:val="clear" w:color="auto" w:fill="FFC000" w:themeFill="accent4"/>
            <w:textDirection w:val="btLr"/>
          </w:tcPr>
          <w:p w14:paraId="7B2D60F1" w14:textId="28BAA565" w:rsidR="001227B6" w:rsidRPr="00D201EB" w:rsidRDefault="00531A0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31A02">
              <w:rPr>
                <w:rFonts w:asciiTheme="majorHAnsi" w:hAnsiTheme="majorHAnsi" w:cstheme="majorHAnsi"/>
                <w:b/>
                <w:sz w:val="24"/>
              </w:rPr>
              <w:t>La Terre, une planète active</w:t>
            </w:r>
          </w:p>
        </w:tc>
        <w:tc>
          <w:tcPr>
            <w:tcW w:w="4820" w:type="dxa"/>
          </w:tcPr>
          <w:p w14:paraId="009E1F88" w14:textId="7B5AE52E" w:rsidR="00532069" w:rsidRPr="00532069" w:rsidRDefault="00532069" w:rsidP="0053206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532069">
              <w:rPr>
                <w:rFonts w:asciiTheme="majorHAnsi" w:hAnsiTheme="majorHAnsi" w:cstheme="majorHAnsi"/>
                <w:sz w:val="22"/>
                <w:szCs w:val="22"/>
              </w:rPr>
              <w:t>La météorologie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</w:p>
          <w:p w14:paraId="5F34D244" w14:textId="77777777" w:rsidR="00532069" w:rsidRDefault="00532069" w:rsidP="00D80323">
            <w:pPr>
              <w:pStyle w:val="Default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32069">
              <w:rPr>
                <w:rFonts w:asciiTheme="majorHAnsi" w:hAnsiTheme="majorHAnsi" w:cstheme="majorHAnsi"/>
                <w:sz w:val="22"/>
                <w:szCs w:val="22"/>
              </w:rPr>
              <w:t>Réaliser et exploiter des mesures météorologiques en utilisant des capteurs (thermomètre, pluviomètre, anémomètre).</w:t>
            </w:r>
          </w:p>
          <w:p w14:paraId="3302DB25" w14:textId="42A56C34" w:rsidR="001227B6" w:rsidRPr="00532069" w:rsidRDefault="00532069" w:rsidP="00D80323">
            <w:pPr>
              <w:pStyle w:val="Default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32069">
              <w:rPr>
                <w:rFonts w:asciiTheme="majorHAnsi" w:hAnsiTheme="majorHAnsi" w:cstheme="majorHAnsi"/>
                <w:sz w:val="22"/>
                <w:szCs w:val="22"/>
              </w:rPr>
              <w:t>Caractériser à partir de données physiques les variations météorologiques de son espace de vie au cours du temps.</w:t>
            </w:r>
          </w:p>
        </w:tc>
        <w:tc>
          <w:tcPr>
            <w:tcW w:w="4410" w:type="dxa"/>
          </w:tcPr>
          <w:p w14:paraId="6E0A6641" w14:textId="5777D190" w:rsidR="00E4644A" w:rsidRPr="00E4644A" w:rsidRDefault="00E4644A" w:rsidP="00E4644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>L’activité terrestre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2001B2B8" w14:textId="77777777" w:rsidR="00E4644A" w:rsidRPr="00E4644A" w:rsidRDefault="00E4644A" w:rsidP="00D80323">
            <w:pPr>
              <w:pStyle w:val="Defaul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 xml:space="preserve">Repérer des manifestations de l’activité interne ou externe de la Terre. </w:t>
            </w:r>
          </w:p>
          <w:p w14:paraId="7C31EDEB" w14:textId="77777777" w:rsidR="00E4644A" w:rsidRPr="00E4644A" w:rsidRDefault="00E4644A" w:rsidP="00D80323">
            <w:pPr>
              <w:pStyle w:val="Defaul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 xml:space="preserve">Définir la notion de risque naturel et identifier les mesures de prévention et de protection associées, à partir d’un exemple au choix : séisme, éruption volcanique, inondation, tempête, cyclone, érosion littorale, glissement de terrain, etc. </w:t>
            </w:r>
          </w:p>
          <w:p w14:paraId="22814F9A" w14:textId="1D1E2A68" w:rsidR="00E4644A" w:rsidRPr="00E4644A" w:rsidRDefault="00E4644A" w:rsidP="00E4644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>Le climat local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 :</w:t>
            </w:r>
          </w:p>
          <w:p w14:paraId="55D78AE7" w14:textId="77777777" w:rsidR="00E4644A" w:rsidRPr="00E4644A" w:rsidRDefault="00E4644A" w:rsidP="00D80323">
            <w:pPr>
              <w:pStyle w:val="Default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 xml:space="preserve">Définir le climat local comme l’ensemble des conditions météorologiques pendant plusieurs années dans une région. </w:t>
            </w:r>
          </w:p>
          <w:p w14:paraId="48F8B674" w14:textId="77777777" w:rsidR="00E4644A" w:rsidRPr="00E4644A" w:rsidRDefault="00E4644A" w:rsidP="00D80323">
            <w:pPr>
              <w:pStyle w:val="Default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 xml:space="preserve">Décrire quelques conséquences du changement climatique récent sur son environnement proche. </w:t>
            </w:r>
          </w:p>
          <w:p w14:paraId="3A1AF67B" w14:textId="7E181FEB" w:rsidR="001227B6" w:rsidRPr="00AF4001" w:rsidRDefault="00E4644A" w:rsidP="00E4644A">
            <w:pPr>
              <w:pStyle w:val="Default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4644A">
              <w:rPr>
                <w:rFonts w:asciiTheme="majorHAnsi" w:hAnsiTheme="majorHAnsi" w:cstheme="majorHAnsi"/>
                <w:sz w:val="22"/>
                <w:szCs w:val="22"/>
              </w:rPr>
              <w:t>Citer des stratégies d’atténuation ou d’adaptation au changement climatique, en privilégiant les exemples locaux.</w:t>
            </w:r>
          </w:p>
        </w:tc>
      </w:tr>
    </w:tbl>
    <w:p w14:paraId="3025FF62" w14:textId="2774454F" w:rsidR="00DA47F2" w:rsidRPr="00E65A67" w:rsidRDefault="009677B6" w:rsidP="00E65A67">
      <w:pPr>
        <w:shd w:val="clear" w:color="auto" w:fill="70AD47" w:themeFill="accent6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9677B6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Le corps humain et la santé</w:t>
      </w:r>
    </w:p>
    <w:tbl>
      <w:tblPr>
        <w:tblStyle w:val="Grilledutableau"/>
        <w:tblW w:w="1020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567"/>
        <w:gridCol w:w="4542"/>
      </w:tblGrid>
      <w:tr w:rsidR="00435DE1" w:rsidRPr="008123C1" w14:paraId="2C287B83" w14:textId="77777777" w:rsidTr="00490F08">
        <w:trPr>
          <w:trHeight w:val="70"/>
          <w:jc w:val="center"/>
        </w:trPr>
        <w:tc>
          <w:tcPr>
            <w:tcW w:w="846" w:type="dxa"/>
            <w:shd w:val="clear" w:color="auto" w:fill="FFF2CC" w:themeFill="accent4" w:themeFillTint="33"/>
          </w:tcPr>
          <w:p w14:paraId="544564AE" w14:textId="77777777" w:rsidR="00435DE1" w:rsidRPr="008123C1" w:rsidRDefault="00435DE1" w:rsidP="00203B1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252" w:type="dxa"/>
            <w:shd w:val="clear" w:color="auto" w:fill="FFF2CC" w:themeFill="accent4" w:themeFillTint="33"/>
            <w:vAlign w:val="center"/>
          </w:tcPr>
          <w:p w14:paraId="053447F3" w14:textId="77777777" w:rsidR="00435DE1" w:rsidRPr="008123C1" w:rsidRDefault="00435DE1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M1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41B8D57F" w14:textId="77777777" w:rsidR="00435DE1" w:rsidRPr="008123C1" w:rsidRDefault="00435DE1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4542" w:type="dxa"/>
            <w:shd w:val="clear" w:color="auto" w:fill="FBE4D5" w:themeFill="accent2" w:themeFillTint="33"/>
            <w:vAlign w:val="center"/>
          </w:tcPr>
          <w:p w14:paraId="6AE34705" w14:textId="77777777" w:rsidR="00435DE1" w:rsidRPr="008123C1" w:rsidRDefault="00435DE1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M2</w:t>
            </w:r>
          </w:p>
        </w:tc>
      </w:tr>
      <w:tr w:rsidR="00435DE1" w:rsidRPr="00535CE8" w14:paraId="674DEDFC" w14:textId="77777777" w:rsidTr="00490F08">
        <w:trPr>
          <w:cantSplit/>
          <w:trHeight w:val="3205"/>
          <w:jc w:val="center"/>
        </w:trPr>
        <w:tc>
          <w:tcPr>
            <w:tcW w:w="846" w:type="dxa"/>
            <w:shd w:val="clear" w:color="auto" w:fill="E2EFD9" w:themeFill="accent6" w:themeFillTint="33"/>
            <w:textDirection w:val="btLr"/>
          </w:tcPr>
          <w:p w14:paraId="28170B43" w14:textId="193D36DB" w:rsidR="00435DE1" w:rsidRPr="00BD20A0" w:rsidRDefault="00435DE1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435DE1">
              <w:rPr>
                <w:rFonts w:asciiTheme="majorHAnsi" w:hAnsiTheme="majorHAnsi" w:cstheme="majorHAnsi"/>
                <w:b/>
                <w:szCs w:val="20"/>
              </w:rPr>
              <w:t>Le cerveau : introduction à quelques grandes fonctions</w:t>
            </w:r>
          </w:p>
        </w:tc>
        <w:tc>
          <w:tcPr>
            <w:tcW w:w="4252" w:type="dxa"/>
          </w:tcPr>
          <w:p w14:paraId="02FB3BA0" w14:textId="77777777" w:rsidR="001441A8" w:rsidRPr="001441A8" w:rsidRDefault="001441A8" w:rsidP="00D80323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1441A8">
              <w:rPr>
                <w:rFonts w:asciiTheme="majorHAnsi" w:eastAsia="Times New Roman" w:hAnsiTheme="majorHAnsi" w:cstheme="majorHAnsi"/>
                <w:lang w:eastAsia="fr-FR"/>
              </w:rPr>
              <w:t>Localiser le cerveau et l’identifier comme un organe impliqué dans différentes fonctions : perception sensorielle, élaboration de la commande motrice, langage, apprentissage et mémorisation, élaboration des émotions, production des rêves.</w:t>
            </w:r>
          </w:p>
          <w:p w14:paraId="7B2B27E9" w14:textId="77777777" w:rsidR="001441A8" w:rsidRPr="001441A8" w:rsidRDefault="001441A8" w:rsidP="00D80323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1441A8">
              <w:rPr>
                <w:rFonts w:asciiTheme="majorHAnsi" w:eastAsia="Times New Roman" w:hAnsiTheme="majorHAnsi" w:cstheme="majorHAnsi"/>
                <w:lang w:eastAsia="fr-FR"/>
              </w:rPr>
              <w:t>Comprendre quelques mécanismes perceptifs et comment notre perception du monde peut être différente de sa réalité physique.</w:t>
            </w:r>
          </w:p>
          <w:p w14:paraId="7C6EAB65" w14:textId="41A71E17" w:rsidR="00435DE1" w:rsidRPr="00BC2531" w:rsidRDefault="001441A8" w:rsidP="00D80323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1441A8">
              <w:rPr>
                <w:rFonts w:asciiTheme="majorHAnsi" w:eastAsia="Times New Roman" w:hAnsiTheme="majorHAnsi" w:cstheme="majorHAnsi"/>
                <w:lang w:eastAsia="fr-FR"/>
              </w:rPr>
              <w:t>Déterminer des stratégies pour focaliser son attention sur une tâche identifiée ou mémoriser une information (mémoire à court terme et mémoire à long terme).</w:t>
            </w:r>
          </w:p>
        </w:tc>
        <w:tc>
          <w:tcPr>
            <w:tcW w:w="567" w:type="dxa"/>
            <w:shd w:val="clear" w:color="auto" w:fill="E2EFD9" w:themeFill="accent6" w:themeFillTint="33"/>
            <w:textDirection w:val="btLr"/>
          </w:tcPr>
          <w:p w14:paraId="3CB23B00" w14:textId="0229654D" w:rsidR="00435DE1" w:rsidRPr="00BD20A0" w:rsidRDefault="006B218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6B2182">
              <w:rPr>
                <w:rFonts w:asciiTheme="majorHAnsi" w:hAnsiTheme="majorHAnsi" w:cstheme="majorHAnsi"/>
                <w:b/>
                <w:szCs w:val="20"/>
              </w:rPr>
              <w:t>Alimentation humaine</w:t>
            </w:r>
          </w:p>
        </w:tc>
        <w:tc>
          <w:tcPr>
            <w:tcW w:w="4542" w:type="dxa"/>
          </w:tcPr>
          <w:p w14:paraId="522EC53E" w14:textId="66CCED97" w:rsidR="00F11FA2" w:rsidRPr="00F11FA2" w:rsidRDefault="00F11FA2" w:rsidP="00F11FA2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Besoins alimentaires et nutrition humaine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6751C7CB" w14:textId="77777777" w:rsidR="00F11FA2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Exploiter des données mettant en évidence le besoin de matière pour la croissance et le développement des êtres vivants. </w:t>
            </w:r>
          </w:p>
          <w:p w14:paraId="476AA2A5" w14:textId="77777777" w:rsidR="00F11FA2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Exploiter des données pour expliquer la variation des besoins alimentaires au cours de la croissance et selon l’activité physique. </w:t>
            </w:r>
          </w:p>
          <w:p w14:paraId="60EE5CFF" w14:textId="77777777" w:rsidR="00F11FA2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Identifier et localiser la transformation des aliments dans l’appareil digestif (mastication par les dents, changements de texture lors du trajet) en nutriments utilisables par les organes. </w:t>
            </w:r>
          </w:p>
          <w:p w14:paraId="3372804C" w14:textId="77777777" w:rsidR="00F11FA2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Nommer et localiser les différents organes du système digestif, en les associant à leur fonction. </w:t>
            </w:r>
          </w:p>
          <w:p w14:paraId="4AB0BF65" w14:textId="77777777" w:rsidR="00F11FA2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Identifier le rôle de la circulation sanguine dans l’approvisionnement des organes en nutriments. </w:t>
            </w:r>
          </w:p>
          <w:p w14:paraId="2EFE27E9" w14:textId="66ED39BE" w:rsidR="00435DE1" w:rsidRPr="00F11FA2" w:rsidRDefault="00F11FA2" w:rsidP="00D80323">
            <w:pPr>
              <w:numPr>
                <w:ilvl w:val="0"/>
                <w:numId w:val="19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Associer l’augmentation de l’activité cardiaque lors d’un effort physique aux besoins accrus des muscles en nutriments apportés par la circulation sanguine.</w:t>
            </w:r>
          </w:p>
        </w:tc>
      </w:tr>
      <w:tr w:rsidR="006B2182" w:rsidRPr="00535CE8" w14:paraId="457E7C88" w14:textId="77777777" w:rsidTr="00490F08">
        <w:trPr>
          <w:cantSplit/>
          <w:trHeight w:val="3205"/>
          <w:jc w:val="center"/>
        </w:trPr>
        <w:tc>
          <w:tcPr>
            <w:tcW w:w="846" w:type="dxa"/>
            <w:shd w:val="clear" w:color="auto" w:fill="C5E0B3" w:themeFill="accent6" w:themeFillTint="66"/>
            <w:textDirection w:val="btLr"/>
          </w:tcPr>
          <w:p w14:paraId="3E4C8E92" w14:textId="1A6EC4AC" w:rsidR="006B2182" w:rsidRPr="00435DE1" w:rsidRDefault="006B218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6B2182">
              <w:rPr>
                <w:rFonts w:asciiTheme="majorHAnsi" w:hAnsiTheme="majorHAnsi" w:cstheme="majorHAnsi"/>
                <w:b/>
                <w:szCs w:val="20"/>
              </w:rPr>
              <w:t>Puberté et reproduction humaine</w:t>
            </w:r>
          </w:p>
        </w:tc>
        <w:tc>
          <w:tcPr>
            <w:tcW w:w="4252" w:type="dxa"/>
          </w:tcPr>
          <w:p w14:paraId="5615681B" w14:textId="77777777" w:rsidR="00490F08" w:rsidRPr="00490F08" w:rsidRDefault="00490F08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490F08">
              <w:rPr>
                <w:rFonts w:asciiTheme="majorHAnsi" w:eastAsia="Times New Roman" w:hAnsiTheme="majorHAnsi" w:cstheme="majorHAnsi"/>
                <w:lang w:eastAsia="fr-FR"/>
              </w:rPr>
              <w:t>Décrire et identifier les changements morphologiques du corps au moment de la puberté.</w:t>
            </w:r>
          </w:p>
          <w:p w14:paraId="1A065287" w14:textId="0E47AEDA" w:rsidR="006B2182" w:rsidRPr="00490F08" w:rsidRDefault="00490F08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490F08">
              <w:rPr>
                <w:rFonts w:asciiTheme="majorHAnsi" w:eastAsia="Times New Roman" w:hAnsiTheme="majorHAnsi" w:cstheme="majorHAnsi"/>
                <w:lang w:eastAsia="fr-FR"/>
              </w:rPr>
              <w:t>Comprendre que la puberté se produit à des âges différents selon les individus, qu’elle n’a pas les mêmes effets et que ces changements sont normaux.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7F98D690" w14:textId="393494BE" w:rsidR="006B2182" w:rsidRPr="00535CE8" w:rsidRDefault="006B2182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6B2182">
              <w:rPr>
                <w:rFonts w:asciiTheme="majorHAnsi" w:hAnsiTheme="majorHAnsi" w:cstheme="majorHAnsi"/>
                <w:b/>
                <w:szCs w:val="20"/>
              </w:rPr>
              <w:t>Puberté et reproduction humaine</w:t>
            </w:r>
          </w:p>
        </w:tc>
        <w:tc>
          <w:tcPr>
            <w:tcW w:w="4542" w:type="dxa"/>
          </w:tcPr>
          <w:p w14:paraId="6E43C9DE" w14:textId="77777777" w:rsidR="00F11FA2" w:rsidRPr="00F11FA2" w:rsidRDefault="00F11FA2" w:rsidP="00D80323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Nommer les organes reproducteurs et les associer à leur fonction.</w:t>
            </w:r>
          </w:p>
          <w:p w14:paraId="256C4421" w14:textId="39A4353F" w:rsidR="006B2182" w:rsidRPr="00F11FA2" w:rsidRDefault="00F11FA2" w:rsidP="00D80323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11F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Définir scientifiquement les menstruations (règles), composante normale et naturelle du développement physique des filles, qui se mettent en place à la puberté : renouvellement périodique de la paroi interne de l’utérus (épaississement puis destruction partielle occasionnant des saignements).</w:t>
            </w:r>
          </w:p>
        </w:tc>
      </w:tr>
    </w:tbl>
    <w:p w14:paraId="1CA8DA8D" w14:textId="77777777" w:rsidR="006B2182" w:rsidRDefault="006B2182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3363107E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17DC6E03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6D73FCBE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34286B9D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7D016A50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6D682448" w14:textId="77777777" w:rsidR="00CC307B" w:rsidRDefault="00CC307B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49A38473" w14:textId="18253FC5" w:rsidR="00C71D77" w:rsidRPr="00CC307B" w:rsidRDefault="009677B6" w:rsidP="00CC307B">
      <w:pPr>
        <w:shd w:val="clear" w:color="auto" w:fill="5B9BD5" w:themeFill="accent1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9677B6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Les objets techniques au cœur de la société</w:t>
      </w:r>
    </w:p>
    <w:tbl>
      <w:tblPr>
        <w:tblStyle w:val="Grilledutableau"/>
        <w:tblW w:w="1020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709"/>
        <w:gridCol w:w="4400"/>
      </w:tblGrid>
      <w:tr w:rsidR="006B2182" w:rsidRPr="008123C1" w14:paraId="32BE5965" w14:textId="77777777" w:rsidTr="007A3681">
        <w:trPr>
          <w:trHeight w:val="70"/>
          <w:jc w:val="center"/>
        </w:trPr>
        <w:tc>
          <w:tcPr>
            <w:tcW w:w="846" w:type="dxa"/>
            <w:shd w:val="clear" w:color="auto" w:fill="FFF2CC" w:themeFill="accent4" w:themeFillTint="33"/>
          </w:tcPr>
          <w:p w14:paraId="4C4F00E6" w14:textId="77777777" w:rsidR="006B2182" w:rsidRPr="008123C1" w:rsidRDefault="006B2182" w:rsidP="00203B1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252" w:type="dxa"/>
            <w:shd w:val="clear" w:color="auto" w:fill="FFF2CC" w:themeFill="accent4" w:themeFillTint="33"/>
            <w:vAlign w:val="center"/>
          </w:tcPr>
          <w:p w14:paraId="0DE25CC9" w14:textId="77777777" w:rsidR="006B2182" w:rsidRPr="008123C1" w:rsidRDefault="006B2182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M1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400E4DB5" w14:textId="77777777" w:rsidR="006B2182" w:rsidRPr="008123C1" w:rsidRDefault="006B2182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4400" w:type="dxa"/>
            <w:shd w:val="clear" w:color="auto" w:fill="FBE4D5" w:themeFill="accent2" w:themeFillTint="33"/>
            <w:vAlign w:val="center"/>
          </w:tcPr>
          <w:p w14:paraId="7FC7E58D" w14:textId="77777777" w:rsidR="006B2182" w:rsidRPr="008123C1" w:rsidRDefault="006B2182" w:rsidP="00203B1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M2</w:t>
            </w:r>
          </w:p>
        </w:tc>
      </w:tr>
      <w:tr w:rsidR="006B2182" w:rsidRPr="00535CE8" w14:paraId="1C529E37" w14:textId="77777777" w:rsidTr="007A3681">
        <w:trPr>
          <w:cantSplit/>
          <w:trHeight w:val="3205"/>
          <w:jc w:val="center"/>
        </w:trPr>
        <w:tc>
          <w:tcPr>
            <w:tcW w:w="846" w:type="dxa"/>
            <w:shd w:val="clear" w:color="auto" w:fill="DEEAF6" w:themeFill="accent1" w:themeFillTint="33"/>
            <w:textDirection w:val="btLr"/>
          </w:tcPr>
          <w:p w14:paraId="4B78453E" w14:textId="7C095BCC" w:rsidR="006B2182" w:rsidRPr="00BD20A0" w:rsidRDefault="00223105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223105">
              <w:rPr>
                <w:rFonts w:asciiTheme="majorHAnsi" w:hAnsiTheme="majorHAnsi" w:cstheme="majorHAnsi"/>
                <w:b/>
                <w:szCs w:val="20"/>
              </w:rPr>
              <w:t>Les objets techniques en réponse aux besoins des individus et de la société</w:t>
            </w:r>
          </w:p>
        </w:tc>
        <w:tc>
          <w:tcPr>
            <w:tcW w:w="4252" w:type="dxa"/>
          </w:tcPr>
          <w:p w14:paraId="15BA69D6" w14:textId="77777777" w:rsidR="0002213D" w:rsidRPr="0002213D" w:rsidRDefault="0002213D" w:rsidP="00D80323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02213D">
              <w:rPr>
                <w:rFonts w:asciiTheme="majorHAnsi" w:eastAsia="Times New Roman" w:hAnsiTheme="majorHAnsi" w:cstheme="majorHAnsi"/>
                <w:lang w:eastAsia="fr-FR"/>
              </w:rPr>
              <w:t>Repérer les évolutions d’un objet dans différents contextes (historique, géographique, économique, culturel, technologique, dans le cadre du développement durable).</w:t>
            </w:r>
          </w:p>
          <w:p w14:paraId="60053549" w14:textId="2B7AF456" w:rsidR="006B2182" w:rsidRPr="00BC2531" w:rsidRDefault="0002213D" w:rsidP="00D80323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02213D">
              <w:rPr>
                <w:rFonts w:asciiTheme="majorHAnsi" w:eastAsia="Times New Roman" w:hAnsiTheme="majorHAnsi" w:cstheme="majorHAnsi"/>
                <w:lang w:eastAsia="fr-FR"/>
              </w:rPr>
              <w:t>Comparer des réponses à des besoins dans différents contextes.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</w:tcPr>
          <w:p w14:paraId="42DA2296" w14:textId="3EF3F7D5" w:rsidR="006B2182" w:rsidRPr="00BD20A0" w:rsidRDefault="00223105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223105">
              <w:rPr>
                <w:rFonts w:asciiTheme="majorHAnsi" w:hAnsiTheme="majorHAnsi" w:cstheme="majorHAnsi"/>
                <w:b/>
                <w:szCs w:val="20"/>
              </w:rPr>
              <w:t>Démarche de conception et de réalisation d’un objet technique</w:t>
            </w:r>
          </w:p>
        </w:tc>
        <w:tc>
          <w:tcPr>
            <w:tcW w:w="4400" w:type="dxa"/>
          </w:tcPr>
          <w:p w14:paraId="45539264" w14:textId="77777777" w:rsidR="007A3681" w:rsidRPr="007A3681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Rechercher des idées de solutions à l’aide de croquis pour résoudre un problème technique donné.</w:t>
            </w:r>
          </w:p>
          <w:p w14:paraId="3223D514" w14:textId="77777777" w:rsidR="007A3681" w:rsidRPr="007A3681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Associer une contrainte à un choix de matériau en fonction de ses propriétés physiques.</w:t>
            </w:r>
          </w:p>
          <w:p w14:paraId="23B2366F" w14:textId="77777777" w:rsidR="007A3681" w:rsidRPr="007A3681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Organiser le travail de conception d’une maquette et la fabriquer.</w:t>
            </w:r>
          </w:p>
          <w:p w14:paraId="456DB201" w14:textId="06DF15D2" w:rsidR="006B2182" w:rsidRPr="00535CE8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Comparer des solutions par une analyse critique (notamment dans le cadre de la transition écologique et du développement durable).</w:t>
            </w:r>
          </w:p>
        </w:tc>
      </w:tr>
      <w:tr w:rsidR="007A3681" w:rsidRPr="00535CE8" w14:paraId="6E4FE61D" w14:textId="77777777" w:rsidTr="007A3681">
        <w:trPr>
          <w:cantSplit/>
          <w:trHeight w:val="3205"/>
          <w:jc w:val="center"/>
        </w:trPr>
        <w:tc>
          <w:tcPr>
            <w:tcW w:w="846" w:type="dxa"/>
            <w:shd w:val="clear" w:color="auto" w:fill="BDD6EE" w:themeFill="accent1" w:themeFillTint="66"/>
            <w:textDirection w:val="btLr"/>
          </w:tcPr>
          <w:p w14:paraId="288C7342" w14:textId="11D32A3A" w:rsidR="007A3681" w:rsidRPr="00435DE1" w:rsidRDefault="007A3681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223105">
              <w:rPr>
                <w:rFonts w:asciiTheme="majorHAnsi" w:hAnsiTheme="majorHAnsi" w:cstheme="majorHAnsi"/>
                <w:b/>
                <w:szCs w:val="20"/>
              </w:rPr>
              <w:t>Description du fonctionnement et de la constitution d’objets techniques</w:t>
            </w:r>
          </w:p>
        </w:tc>
        <w:tc>
          <w:tcPr>
            <w:tcW w:w="4252" w:type="dxa"/>
          </w:tcPr>
          <w:p w14:paraId="5BBF0723" w14:textId="77777777" w:rsidR="007A3681" w:rsidRPr="00340883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Identifier les fonctions assurées par les différents composants ou formes ou matériaux d’un objet technique.</w:t>
            </w:r>
          </w:p>
          <w:p w14:paraId="4A81B28A" w14:textId="77777777" w:rsidR="007A3681" w:rsidRPr="00340883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Associer les solutions technologiques aux fonctions techniques.</w:t>
            </w:r>
          </w:p>
          <w:p w14:paraId="6CAB3664" w14:textId="77777777" w:rsidR="007A3681" w:rsidRPr="00340883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Représenter graphiquement à l’aide de croquis à main levée les éléments d’un objet technique.</w:t>
            </w:r>
          </w:p>
          <w:p w14:paraId="7F52877F" w14:textId="77777777" w:rsidR="007A3681" w:rsidRPr="00340883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Identifier les sous-ensembles constituant un objet technique.</w:t>
            </w:r>
          </w:p>
          <w:p w14:paraId="2F2E6532" w14:textId="1C250601" w:rsidR="007A3681" w:rsidRPr="00340883" w:rsidRDefault="007A3681" w:rsidP="00D80323">
            <w:pPr>
              <w:pStyle w:val="Paragraphedeliste"/>
              <w:numPr>
                <w:ilvl w:val="0"/>
                <w:numId w:val="6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Décrire à l’aide d’un croquis le fonctionnement d’un objet technique.</w:t>
            </w:r>
          </w:p>
        </w:tc>
        <w:tc>
          <w:tcPr>
            <w:tcW w:w="5109" w:type="dxa"/>
            <w:gridSpan w:val="2"/>
            <w:shd w:val="clear" w:color="auto" w:fill="FFFFFF" w:themeFill="background1"/>
            <w:textDirection w:val="btLr"/>
          </w:tcPr>
          <w:p w14:paraId="1E45941D" w14:textId="77777777" w:rsidR="007A3681" w:rsidRPr="00535CE8" w:rsidRDefault="007A3681" w:rsidP="00203B1B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</w:tr>
      <w:tr w:rsidR="00223105" w:rsidRPr="00535CE8" w14:paraId="54C45341" w14:textId="77777777" w:rsidTr="007A3681">
        <w:trPr>
          <w:cantSplit/>
          <w:trHeight w:val="3205"/>
          <w:jc w:val="center"/>
        </w:trPr>
        <w:tc>
          <w:tcPr>
            <w:tcW w:w="846" w:type="dxa"/>
            <w:shd w:val="clear" w:color="auto" w:fill="9CC2E5" w:themeFill="accent1" w:themeFillTint="99"/>
            <w:textDirection w:val="btLr"/>
          </w:tcPr>
          <w:p w14:paraId="591FB17B" w14:textId="6CA3696D" w:rsidR="00223105" w:rsidRPr="00223105" w:rsidRDefault="00223105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223105">
              <w:rPr>
                <w:rFonts w:asciiTheme="majorHAnsi" w:hAnsiTheme="majorHAnsi" w:cstheme="majorHAnsi"/>
                <w:b/>
                <w:szCs w:val="20"/>
              </w:rPr>
              <w:t>Programmation d’objets techniques</w:t>
            </w:r>
          </w:p>
        </w:tc>
        <w:tc>
          <w:tcPr>
            <w:tcW w:w="4252" w:type="dxa"/>
          </w:tcPr>
          <w:p w14:paraId="631695ED" w14:textId="44C65FCB" w:rsidR="00340883" w:rsidRPr="00340883" w:rsidRDefault="00340883" w:rsidP="00340883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Algorithmes et programmation :</w:t>
            </w:r>
          </w:p>
          <w:p w14:paraId="74828201" w14:textId="77777777" w:rsidR="00340883" w:rsidRPr="00340883" w:rsidRDefault="00340883" w:rsidP="00D80323">
            <w:pPr>
              <w:numPr>
                <w:ilvl w:val="0"/>
                <w:numId w:val="21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 xml:space="preserve">Traduire un programme simple en langage naturel. </w:t>
            </w:r>
          </w:p>
          <w:p w14:paraId="4DC2698E" w14:textId="77777777" w:rsidR="00340883" w:rsidRPr="00340883" w:rsidRDefault="00340883" w:rsidP="00D80323">
            <w:pPr>
              <w:numPr>
                <w:ilvl w:val="0"/>
                <w:numId w:val="21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40883">
              <w:rPr>
                <w:rFonts w:asciiTheme="majorHAnsi" w:eastAsia="Times New Roman" w:hAnsiTheme="majorHAnsi" w:cstheme="majorHAnsi"/>
                <w:lang w:eastAsia="fr-FR"/>
              </w:rPr>
              <w:t>Utiliser un programme pour agir sur le comportement d’un objet technique.</w:t>
            </w:r>
          </w:p>
          <w:p w14:paraId="2FE8B19F" w14:textId="77777777" w:rsidR="00223105" w:rsidRPr="00BC2531" w:rsidRDefault="00223105" w:rsidP="00203B1B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textDirection w:val="btLr"/>
          </w:tcPr>
          <w:p w14:paraId="0CF2F6DC" w14:textId="297D95E3" w:rsidR="00223105" w:rsidRPr="006B2182" w:rsidRDefault="00223105" w:rsidP="00203B1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223105">
              <w:rPr>
                <w:rFonts w:asciiTheme="majorHAnsi" w:hAnsiTheme="majorHAnsi" w:cstheme="majorHAnsi"/>
                <w:b/>
                <w:szCs w:val="20"/>
              </w:rPr>
              <w:t>Programmation d’objets techniques</w:t>
            </w:r>
          </w:p>
        </w:tc>
        <w:tc>
          <w:tcPr>
            <w:tcW w:w="4400" w:type="dxa"/>
          </w:tcPr>
          <w:p w14:paraId="0ED8DE75" w14:textId="09A89F4F" w:rsidR="007A3681" w:rsidRPr="007A3681" w:rsidRDefault="007A3681" w:rsidP="007A3681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Algorithmes et programmatio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n :</w:t>
            </w:r>
          </w:p>
          <w:p w14:paraId="30DAD698" w14:textId="77777777" w:rsidR="007A3681" w:rsidRPr="007A3681" w:rsidRDefault="007A3681" w:rsidP="00D80323">
            <w:pPr>
              <w:pStyle w:val="Paragraphedeliste"/>
              <w:numPr>
                <w:ilvl w:val="0"/>
                <w:numId w:val="22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un algorithme agissant sur le comportement d’un objet technique.</w:t>
            </w:r>
          </w:p>
          <w:p w14:paraId="5FF4FE15" w14:textId="56673F83" w:rsidR="00223105" w:rsidRPr="007A3681" w:rsidRDefault="007A3681" w:rsidP="00D80323">
            <w:pPr>
              <w:pStyle w:val="Paragraphedeliste"/>
              <w:numPr>
                <w:ilvl w:val="0"/>
                <w:numId w:val="22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A36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Modifier, tester et valider un programme au regard du comportement de l’objet programmé.</w:t>
            </w:r>
          </w:p>
        </w:tc>
      </w:tr>
    </w:tbl>
    <w:p w14:paraId="4AF8F800" w14:textId="77777777" w:rsidR="006B2182" w:rsidRPr="00B97EE3" w:rsidRDefault="006B2182" w:rsidP="00B97EE3">
      <w:pPr>
        <w:rPr>
          <w:rFonts w:asciiTheme="majorHAnsi" w:hAnsiTheme="majorHAnsi" w:cstheme="majorHAnsi"/>
          <w:sz w:val="2"/>
          <w:szCs w:val="2"/>
        </w:rPr>
      </w:pPr>
    </w:p>
    <w:sectPr w:rsidR="006B2182" w:rsidRPr="00B97EE3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A47A" w14:textId="77777777" w:rsidR="00FA2828" w:rsidRDefault="00FA2828" w:rsidP="008123C1">
      <w:pPr>
        <w:spacing w:after="0" w:line="240" w:lineRule="auto"/>
      </w:pPr>
      <w:r>
        <w:separator/>
      </w:r>
    </w:p>
  </w:endnote>
  <w:endnote w:type="continuationSeparator" w:id="0">
    <w:p w14:paraId="0EE96256" w14:textId="77777777" w:rsidR="00FA2828" w:rsidRDefault="00FA2828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7EC9" w14:textId="77777777" w:rsidR="00FA2828" w:rsidRDefault="00FA2828" w:rsidP="008123C1">
      <w:pPr>
        <w:spacing w:after="0" w:line="240" w:lineRule="auto"/>
      </w:pPr>
      <w:r>
        <w:separator/>
      </w:r>
    </w:p>
  </w:footnote>
  <w:footnote w:type="continuationSeparator" w:id="0">
    <w:p w14:paraId="46D9B080" w14:textId="77777777" w:rsidR="00FA2828" w:rsidRDefault="00FA2828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1AB3" w14:textId="6EE2DA91" w:rsidR="00263639" w:rsidRPr="008123C1" w:rsidRDefault="008123C1" w:rsidP="00AF4001">
    <w:pPr>
      <w:pStyle w:val="En-tte"/>
      <w:spacing w:after="240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</w:t>
    </w:r>
    <w:r w:rsidR="00B17B76">
      <w:rPr>
        <w:rFonts w:asciiTheme="majorHAnsi" w:hAnsiTheme="majorHAnsi" w:cstheme="majorHAnsi"/>
        <w:i/>
      </w:rPr>
      <w:t>3</w:t>
    </w:r>
    <w:r w:rsidRPr="008123C1">
      <w:rPr>
        <w:rFonts w:asciiTheme="majorHAnsi" w:hAnsiTheme="majorHAnsi" w:cstheme="majorHAnsi"/>
        <w:i/>
      </w:rPr>
      <w:t xml:space="preserve">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827662">
      <w:rPr>
        <w:rFonts w:asciiTheme="majorHAnsi" w:hAnsiTheme="majorHAnsi" w:cstheme="majorHAnsi"/>
        <w:i/>
      </w:rPr>
      <w:t>Sciences et technologie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8E2"/>
    <w:multiLevelType w:val="multilevel"/>
    <w:tmpl w:val="1F14A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1CF9"/>
    <w:multiLevelType w:val="multilevel"/>
    <w:tmpl w:val="45A4F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10B97"/>
    <w:multiLevelType w:val="hybridMultilevel"/>
    <w:tmpl w:val="A6883C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7E5B06"/>
    <w:multiLevelType w:val="hybridMultilevel"/>
    <w:tmpl w:val="7D9650F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65BEA"/>
    <w:multiLevelType w:val="multilevel"/>
    <w:tmpl w:val="B43E4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D7ADE"/>
    <w:multiLevelType w:val="hybridMultilevel"/>
    <w:tmpl w:val="D05264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F70664"/>
    <w:multiLevelType w:val="hybridMultilevel"/>
    <w:tmpl w:val="BB8216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63BAE"/>
    <w:multiLevelType w:val="multilevel"/>
    <w:tmpl w:val="68C4C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051FB"/>
    <w:multiLevelType w:val="multilevel"/>
    <w:tmpl w:val="C5F28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914C3"/>
    <w:multiLevelType w:val="multilevel"/>
    <w:tmpl w:val="70306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50338"/>
    <w:multiLevelType w:val="multilevel"/>
    <w:tmpl w:val="4DDEA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4158A"/>
    <w:multiLevelType w:val="multilevel"/>
    <w:tmpl w:val="0B46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02C8"/>
    <w:multiLevelType w:val="multilevel"/>
    <w:tmpl w:val="DC2E7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4772E"/>
    <w:multiLevelType w:val="multilevel"/>
    <w:tmpl w:val="DD64C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61348"/>
    <w:multiLevelType w:val="multilevel"/>
    <w:tmpl w:val="BD34E8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71122"/>
    <w:multiLevelType w:val="multilevel"/>
    <w:tmpl w:val="D4B0F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B7CA6"/>
    <w:multiLevelType w:val="hybridMultilevel"/>
    <w:tmpl w:val="755CBA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0C4438"/>
    <w:multiLevelType w:val="multilevel"/>
    <w:tmpl w:val="91B66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E61D3"/>
    <w:multiLevelType w:val="hybridMultilevel"/>
    <w:tmpl w:val="31DADB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CC14A0"/>
    <w:multiLevelType w:val="hybridMultilevel"/>
    <w:tmpl w:val="C2C6B0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3455520">
    <w:abstractNumId w:val="3"/>
  </w:num>
  <w:num w:numId="2" w16cid:durableId="2013024196">
    <w:abstractNumId w:val="15"/>
  </w:num>
  <w:num w:numId="3" w16cid:durableId="1069233528">
    <w:abstractNumId w:val="4"/>
  </w:num>
  <w:num w:numId="4" w16cid:durableId="898250519">
    <w:abstractNumId w:val="7"/>
  </w:num>
  <w:num w:numId="5" w16cid:durableId="1409038516">
    <w:abstractNumId w:val="2"/>
  </w:num>
  <w:num w:numId="6" w16cid:durableId="1724475414">
    <w:abstractNumId w:val="18"/>
  </w:num>
  <w:num w:numId="7" w16cid:durableId="1722483062">
    <w:abstractNumId w:val="8"/>
  </w:num>
  <w:num w:numId="8" w16cid:durableId="1293830887">
    <w:abstractNumId w:val="11"/>
  </w:num>
  <w:num w:numId="9" w16cid:durableId="1249342427">
    <w:abstractNumId w:val="1"/>
  </w:num>
  <w:num w:numId="10" w16cid:durableId="345253401">
    <w:abstractNumId w:val="16"/>
  </w:num>
  <w:num w:numId="11" w16cid:durableId="1004666997">
    <w:abstractNumId w:val="13"/>
  </w:num>
  <w:num w:numId="12" w16cid:durableId="437067444">
    <w:abstractNumId w:val="12"/>
  </w:num>
  <w:num w:numId="13" w16cid:durableId="1779911217">
    <w:abstractNumId w:val="14"/>
  </w:num>
  <w:num w:numId="14" w16cid:durableId="1008796919">
    <w:abstractNumId w:val="6"/>
  </w:num>
  <w:num w:numId="15" w16cid:durableId="261036102">
    <w:abstractNumId w:val="10"/>
  </w:num>
  <w:num w:numId="16" w16cid:durableId="1647858907">
    <w:abstractNumId w:val="0"/>
  </w:num>
  <w:num w:numId="17" w16cid:durableId="1563712680">
    <w:abstractNumId w:val="19"/>
  </w:num>
  <w:num w:numId="18" w16cid:durableId="587928805">
    <w:abstractNumId w:val="17"/>
  </w:num>
  <w:num w:numId="19" w16cid:durableId="318310208">
    <w:abstractNumId w:val="5"/>
  </w:num>
  <w:num w:numId="20" w16cid:durableId="422604883">
    <w:abstractNumId w:val="20"/>
  </w:num>
  <w:num w:numId="21" w16cid:durableId="2091266345">
    <w:abstractNumId w:val="9"/>
  </w:num>
  <w:num w:numId="22" w16cid:durableId="1248805631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2213D"/>
    <w:rsid w:val="000410ED"/>
    <w:rsid w:val="0009685E"/>
    <w:rsid w:val="000B37C9"/>
    <w:rsid w:val="000B5860"/>
    <w:rsid w:val="000C18EE"/>
    <w:rsid w:val="000D2E45"/>
    <w:rsid w:val="000D5C03"/>
    <w:rsid w:val="0010548E"/>
    <w:rsid w:val="001227B6"/>
    <w:rsid w:val="00127868"/>
    <w:rsid w:val="00136C3C"/>
    <w:rsid w:val="00137FF9"/>
    <w:rsid w:val="001441A8"/>
    <w:rsid w:val="00180A98"/>
    <w:rsid w:val="00180F04"/>
    <w:rsid w:val="001878E1"/>
    <w:rsid w:val="001B541D"/>
    <w:rsid w:val="001C665B"/>
    <w:rsid w:val="001C7CAB"/>
    <w:rsid w:val="00223105"/>
    <w:rsid w:val="0022707A"/>
    <w:rsid w:val="00236FF5"/>
    <w:rsid w:val="0026305B"/>
    <w:rsid w:val="00263639"/>
    <w:rsid w:val="00265CC0"/>
    <w:rsid w:val="002B3EEA"/>
    <w:rsid w:val="003034CE"/>
    <w:rsid w:val="00307C97"/>
    <w:rsid w:val="00307D3C"/>
    <w:rsid w:val="00310927"/>
    <w:rsid w:val="00313FC0"/>
    <w:rsid w:val="003160BF"/>
    <w:rsid w:val="00340883"/>
    <w:rsid w:val="0034112F"/>
    <w:rsid w:val="00345436"/>
    <w:rsid w:val="00361B7F"/>
    <w:rsid w:val="003C6896"/>
    <w:rsid w:val="003D7953"/>
    <w:rsid w:val="00435DE1"/>
    <w:rsid w:val="00437512"/>
    <w:rsid w:val="00471BD4"/>
    <w:rsid w:val="00490F08"/>
    <w:rsid w:val="004B1B75"/>
    <w:rsid w:val="004D178A"/>
    <w:rsid w:val="00513588"/>
    <w:rsid w:val="00525E91"/>
    <w:rsid w:val="00531A02"/>
    <w:rsid w:val="00532069"/>
    <w:rsid w:val="005603E9"/>
    <w:rsid w:val="00586E3A"/>
    <w:rsid w:val="0059296B"/>
    <w:rsid w:val="005A517D"/>
    <w:rsid w:val="005B7D14"/>
    <w:rsid w:val="005C5A53"/>
    <w:rsid w:val="00615C97"/>
    <w:rsid w:val="006A51CD"/>
    <w:rsid w:val="006B2182"/>
    <w:rsid w:val="00713714"/>
    <w:rsid w:val="007219EE"/>
    <w:rsid w:val="00724C12"/>
    <w:rsid w:val="007418DE"/>
    <w:rsid w:val="00741D97"/>
    <w:rsid w:val="00755BA1"/>
    <w:rsid w:val="007723E7"/>
    <w:rsid w:val="007A1C1C"/>
    <w:rsid w:val="007A3681"/>
    <w:rsid w:val="007F6812"/>
    <w:rsid w:val="00805BF1"/>
    <w:rsid w:val="008123C1"/>
    <w:rsid w:val="00827662"/>
    <w:rsid w:val="00833C81"/>
    <w:rsid w:val="0083514A"/>
    <w:rsid w:val="008A0AA9"/>
    <w:rsid w:val="008A2AB9"/>
    <w:rsid w:val="008A7AA2"/>
    <w:rsid w:val="008C28D7"/>
    <w:rsid w:val="00900594"/>
    <w:rsid w:val="00932F74"/>
    <w:rsid w:val="00955384"/>
    <w:rsid w:val="00956ACD"/>
    <w:rsid w:val="009623BE"/>
    <w:rsid w:val="00963183"/>
    <w:rsid w:val="00963E22"/>
    <w:rsid w:val="009677B6"/>
    <w:rsid w:val="009A5AEA"/>
    <w:rsid w:val="009C699C"/>
    <w:rsid w:val="009C71CF"/>
    <w:rsid w:val="009F01E0"/>
    <w:rsid w:val="009F18B4"/>
    <w:rsid w:val="00A40ECA"/>
    <w:rsid w:val="00A86DDC"/>
    <w:rsid w:val="00AA6901"/>
    <w:rsid w:val="00AD5AAF"/>
    <w:rsid w:val="00AF4001"/>
    <w:rsid w:val="00B17B76"/>
    <w:rsid w:val="00B55423"/>
    <w:rsid w:val="00B7581E"/>
    <w:rsid w:val="00B770C6"/>
    <w:rsid w:val="00B80E7A"/>
    <w:rsid w:val="00B97EE3"/>
    <w:rsid w:val="00BA2303"/>
    <w:rsid w:val="00BB42EB"/>
    <w:rsid w:val="00C55112"/>
    <w:rsid w:val="00C71D77"/>
    <w:rsid w:val="00C754D8"/>
    <w:rsid w:val="00C75C83"/>
    <w:rsid w:val="00CB0AA4"/>
    <w:rsid w:val="00CC307B"/>
    <w:rsid w:val="00CF7672"/>
    <w:rsid w:val="00D16898"/>
    <w:rsid w:val="00D20346"/>
    <w:rsid w:val="00D228C8"/>
    <w:rsid w:val="00D5055F"/>
    <w:rsid w:val="00D7583F"/>
    <w:rsid w:val="00D80323"/>
    <w:rsid w:val="00DA47F2"/>
    <w:rsid w:val="00DA72A6"/>
    <w:rsid w:val="00DC3DFC"/>
    <w:rsid w:val="00DD0F83"/>
    <w:rsid w:val="00DF010F"/>
    <w:rsid w:val="00DF0C94"/>
    <w:rsid w:val="00E0566B"/>
    <w:rsid w:val="00E22E4A"/>
    <w:rsid w:val="00E27AA5"/>
    <w:rsid w:val="00E32C13"/>
    <w:rsid w:val="00E42529"/>
    <w:rsid w:val="00E4644A"/>
    <w:rsid w:val="00E65A67"/>
    <w:rsid w:val="00E708FA"/>
    <w:rsid w:val="00E73AE8"/>
    <w:rsid w:val="00EE192F"/>
    <w:rsid w:val="00EF258E"/>
    <w:rsid w:val="00EF620C"/>
    <w:rsid w:val="00F0266D"/>
    <w:rsid w:val="00F058AE"/>
    <w:rsid w:val="00F11FA2"/>
    <w:rsid w:val="00F1453B"/>
    <w:rsid w:val="00F31F80"/>
    <w:rsid w:val="00F34B0D"/>
    <w:rsid w:val="00F43372"/>
    <w:rsid w:val="00F43D75"/>
    <w:rsid w:val="00F55E8C"/>
    <w:rsid w:val="00F67EAB"/>
    <w:rsid w:val="00F910B2"/>
    <w:rsid w:val="00FA1DB8"/>
    <w:rsid w:val="00FA2828"/>
    <w:rsid w:val="00FA54D3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1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1552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2026-07-26T13:45:00Z</dcterms:created>
  <dcterms:modified xsi:type="dcterms:W3CDTF">2026-07-26T13:45:00Z</dcterms:modified>
</cp:coreProperties>
</file>